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9B6" w:rsidRDefault="005B69B6">
      <w:pPr>
        <w:ind w:firstLine="480"/>
      </w:pPr>
    </w:p>
    <w:p w:rsidR="005B69B6" w:rsidRDefault="004D0A51">
      <w:pPr>
        <w:pStyle w:val="1"/>
        <w:ind w:left="23" w:hanging="145"/>
      </w:pPr>
      <w:r>
        <w:rPr>
          <w:rFonts w:hint="eastAsia"/>
        </w:rPr>
        <w:t>UP-250</w:t>
      </w:r>
      <w:r>
        <w:rPr>
          <w:rFonts w:hint="eastAsia"/>
        </w:rPr>
        <w:t>手持式超声波细胞粉碎机</w:t>
      </w:r>
    </w:p>
    <w:p w:rsidR="005B69B6" w:rsidRDefault="004D0A51">
      <w:pPr>
        <w:pStyle w:val="2"/>
        <w:ind w:firstLine="562"/>
      </w:pPr>
      <w:r>
        <w:rPr>
          <w:rFonts w:hint="eastAsia"/>
        </w:rPr>
        <w:t>产品说明</w:t>
      </w:r>
    </w:p>
    <w:p w:rsidR="005B69B6" w:rsidRDefault="004D0A51">
      <w:pPr>
        <w:pStyle w:val="a7"/>
        <w:shd w:val="clear" w:color="auto" w:fill="FFFFFF"/>
        <w:spacing w:beforeAutospacing="0" w:afterAutospacing="0" w:line="360" w:lineRule="auto"/>
        <w:ind w:firstLine="420"/>
        <w:jc w:val="both"/>
        <w:rPr>
          <w:rFonts w:cs="宋体"/>
        </w:rPr>
      </w:pPr>
      <w:r>
        <w:rPr>
          <w:rFonts w:cs="宋体"/>
        </w:rPr>
        <w:t>手持式超声波粉碎机是一种便携式、多用途的样品前处理仪器，相较于传统的台式超声波粉碎机，手持式超声波粉碎机具备灵活、高效、便携等诸多优点，适用于小体积，大批量样品（如96</w:t>
      </w:r>
      <w:proofErr w:type="gramStart"/>
      <w:r>
        <w:rPr>
          <w:rFonts w:cs="宋体"/>
        </w:rPr>
        <w:t>孔酶标</w:t>
      </w:r>
      <w:proofErr w:type="gramEnd"/>
      <w:r>
        <w:rPr>
          <w:rFonts w:cs="宋体"/>
        </w:rPr>
        <w:t>板或小试管 内样品）的乳化、分散、匀化、提取、消泡、清洗、纳米材料的制备及加速化学反应等。是环保、食品安全监测车必备的样品前处理仪器。</w:t>
      </w:r>
    </w:p>
    <w:p w:rsidR="005B69B6" w:rsidRDefault="004D0A51">
      <w:pPr>
        <w:pStyle w:val="2"/>
        <w:ind w:firstLine="562"/>
      </w:pPr>
      <w:r>
        <w:rPr>
          <w:rFonts w:hint="eastAsia"/>
        </w:rPr>
        <w:t>性能特点</w:t>
      </w:r>
    </w:p>
    <w:p w:rsidR="005B69B6" w:rsidRDefault="004D0A51">
      <w:pPr>
        <w:pStyle w:val="aa"/>
        <w:numPr>
          <w:ilvl w:val="0"/>
          <w:numId w:val="1"/>
        </w:numPr>
        <w:spacing w:line="360" w:lineRule="auto"/>
        <w:ind w:firstLineChars="0"/>
      </w:pPr>
      <w:r>
        <w:t>可手持点动控制超声</w:t>
      </w:r>
    </w:p>
    <w:p w:rsidR="005B69B6" w:rsidRDefault="004D0A51">
      <w:pPr>
        <w:pStyle w:val="aa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便于移动、携带</w:t>
      </w:r>
    </w:p>
    <w:p w:rsidR="005B69B6" w:rsidRDefault="004D0A51">
      <w:pPr>
        <w:pStyle w:val="aa"/>
        <w:numPr>
          <w:ilvl w:val="0"/>
          <w:numId w:val="1"/>
        </w:numPr>
        <w:spacing w:line="360" w:lineRule="auto"/>
        <w:ind w:firstLineChars="0"/>
      </w:pPr>
      <w:r>
        <w:t>有自动和手动（脚踏）两种工作模式</w:t>
      </w:r>
    </w:p>
    <w:p w:rsidR="005B69B6" w:rsidRDefault="004D0A51">
      <w:pPr>
        <w:pStyle w:val="aa"/>
        <w:numPr>
          <w:ilvl w:val="0"/>
          <w:numId w:val="1"/>
        </w:numPr>
        <w:spacing w:line="360" w:lineRule="auto"/>
        <w:ind w:firstLineChars="0"/>
      </w:pPr>
      <w:r>
        <w:t>功率、超声时间灵活可调</w:t>
      </w:r>
    </w:p>
    <w:p w:rsidR="005B69B6" w:rsidRDefault="004D0A51">
      <w:pPr>
        <w:pStyle w:val="aa"/>
        <w:numPr>
          <w:ilvl w:val="0"/>
          <w:numId w:val="1"/>
        </w:numPr>
        <w:spacing w:line="360" w:lineRule="auto"/>
        <w:ind w:firstLineChars="0"/>
      </w:pPr>
      <w:r>
        <w:t>具备温度检测显示，超温报警功能</w:t>
      </w:r>
    </w:p>
    <w:p w:rsidR="005B69B6" w:rsidRDefault="004D0A51">
      <w:pPr>
        <w:pStyle w:val="aa"/>
        <w:numPr>
          <w:ilvl w:val="0"/>
          <w:numId w:val="1"/>
        </w:numPr>
        <w:spacing w:line="360" w:lineRule="auto"/>
        <w:ind w:firstLineChars="0"/>
      </w:pPr>
      <w:r>
        <w:t>支持酶标板、试管内样品直接处理</w:t>
      </w:r>
    </w:p>
    <w:p w:rsidR="005B69B6" w:rsidRDefault="004D0A51">
      <w:pPr>
        <w:pStyle w:val="2"/>
        <w:ind w:firstLine="562"/>
      </w:pPr>
      <w:r>
        <w:rPr>
          <w:rFonts w:hint="eastAsia"/>
        </w:rPr>
        <w:t>仪器参数</w:t>
      </w:r>
    </w:p>
    <w:p w:rsidR="005B69B6" w:rsidRDefault="004D0A51">
      <w:pPr>
        <w:pStyle w:val="aa"/>
        <w:numPr>
          <w:ilvl w:val="0"/>
          <w:numId w:val="2"/>
        </w:numPr>
        <w:spacing w:line="360" w:lineRule="auto"/>
        <w:ind w:firstLineChars="0"/>
      </w:pPr>
      <w:r>
        <w:t xml:space="preserve">型号: </w:t>
      </w:r>
      <w:r>
        <w:rPr>
          <w:rFonts w:hint="eastAsia"/>
        </w:rPr>
        <w:t>UP-250</w:t>
      </w:r>
    </w:p>
    <w:p w:rsidR="005B69B6" w:rsidRDefault="004D0A51">
      <w:pPr>
        <w:pStyle w:val="aa"/>
        <w:numPr>
          <w:ilvl w:val="0"/>
          <w:numId w:val="2"/>
        </w:numPr>
        <w:spacing w:line="360" w:lineRule="auto"/>
        <w:ind w:firstLineChars="0"/>
      </w:pPr>
      <w:r>
        <w:t>最大超声功率输出</w:t>
      </w:r>
      <w:r>
        <w:rPr>
          <w:rFonts w:hint="eastAsia"/>
        </w:rPr>
        <w:t>：</w:t>
      </w:r>
      <w:r>
        <w:t>250W</w:t>
      </w:r>
    </w:p>
    <w:p w:rsidR="005B69B6" w:rsidRDefault="004D0A51">
      <w:pPr>
        <w:pStyle w:val="aa"/>
        <w:numPr>
          <w:ilvl w:val="0"/>
          <w:numId w:val="2"/>
        </w:numPr>
        <w:spacing w:line="360" w:lineRule="auto"/>
        <w:ind w:firstLineChars="0"/>
      </w:pPr>
      <w:r>
        <w:lastRenderedPageBreak/>
        <w:t>工作频率范围</w:t>
      </w:r>
      <w:r>
        <w:rPr>
          <w:rFonts w:hint="eastAsia"/>
        </w:rPr>
        <w:t>：</w:t>
      </w:r>
      <w:r>
        <w:t>19-25KHz</w:t>
      </w:r>
    </w:p>
    <w:p w:rsidR="005B69B6" w:rsidRDefault="004D0A51">
      <w:pPr>
        <w:pStyle w:val="aa"/>
        <w:numPr>
          <w:ilvl w:val="0"/>
          <w:numId w:val="2"/>
        </w:numPr>
        <w:spacing w:line="360" w:lineRule="auto"/>
        <w:ind w:firstLineChars="0"/>
      </w:pPr>
      <w:r>
        <w:t>控制模式</w:t>
      </w:r>
      <w:r>
        <w:rPr>
          <w:rFonts w:hint="eastAsia"/>
        </w:rPr>
        <w:t>：</w:t>
      </w:r>
      <w:r>
        <w:t>自动、手动可切换（可选配脚踏开关）</w:t>
      </w:r>
    </w:p>
    <w:p w:rsidR="005B69B6" w:rsidRDefault="004D0A51">
      <w:pPr>
        <w:pStyle w:val="aa"/>
        <w:numPr>
          <w:ilvl w:val="0"/>
          <w:numId w:val="2"/>
        </w:numPr>
        <w:spacing w:line="360" w:lineRule="auto"/>
        <w:ind w:firstLineChars="0"/>
      </w:pPr>
      <w:r>
        <w:t>脉冲器</w:t>
      </w:r>
      <w:r>
        <w:rPr>
          <w:rFonts w:hint="eastAsia"/>
        </w:rPr>
        <w:t>：</w:t>
      </w:r>
      <w:r>
        <w:t>0.1-99s可调（间隙/工作）</w:t>
      </w:r>
    </w:p>
    <w:p w:rsidR="005B69B6" w:rsidRDefault="004D0A51">
      <w:pPr>
        <w:pStyle w:val="aa"/>
        <w:numPr>
          <w:ilvl w:val="0"/>
          <w:numId w:val="2"/>
        </w:numPr>
        <w:spacing w:line="360" w:lineRule="auto"/>
        <w:ind w:firstLineChars="0"/>
      </w:pPr>
      <w:r>
        <w:t>总时间</w:t>
      </w:r>
      <w:r>
        <w:rPr>
          <w:rFonts w:hint="eastAsia"/>
        </w:rPr>
        <w:t>：</w:t>
      </w:r>
      <w:r>
        <w:t>0.1-99min可设定</w:t>
      </w:r>
    </w:p>
    <w:p w:rsidR="005B69B6" w:rsidRDefault="004D0A51">
      <w:pPr>
        <w:pStyle w:val="aa"/>
        <w:numPr>
          <w:ilvl w:val="0"/>
          <w:numId w:val="2"/>
        </w:numPr>
        <w:spacing w:line="360" w:lineRule="auto"/>
        <w:ind w:firstLineChars="0"/>
      </w:pPr>
      <w:r>
        <w:t>处理量</w:t>
      </w:r>
      <w:r>
        <w:rPr>
          <w:rFonts w:hint="eastAsia"/>
        </w:rPr>
        <w:t>：100μl</w:t>
      </w:r>
      <w:r>
        <w:t>-10ml</w:t>
      </w:r>
    </w:p>
    <w:p w:rsidR="005B69B6" w:rsidRDefault="004D0A51">
      <w:pPr>
        <w:pStyle w:val="aa"/>
        <w:numPr>
          <w:ilvl w:val="0"/>
          <w:numId w:val="2"/>
        </w:numPr>
        <w:spacing w:line="360" w:lineRule="auto"/>
        <w:ind w:firstLineChars="0"/>
      </w:pPr>
      <w:r>
        <w:t>变幅杆</w:t>
      </w:r>
      <w:r>
        <w:rPr>
          <w:rFonts w:hint="eastAsia"/>
        </w:rPr>
        <w:t>：</w:t>
      </w:r>
      <w:r>
        <w:t>3mm</w:t>
      </w:r>
    </w:p>
    <w:p w:rsidR="005B69B6" w:rsidRDefault="004D0A51">
      <w:pPr>
        <w:pStyle w:val="aa"/>
        <w:numPr>
          <w:ilvl w:val="0"/>
          <w:numId w:val="2"/>
        </w:numPr>
        <w:spacing w:line="360" w:lineRule="auto"/>
        <w:ind w:firstLineChars="0"/>
      </w:pPr>
      <w:r>
        <w:t>主机尺寸</w:t>
      </w:r>
      <w:r>
        <w:rPr>
          <w:rFonts w:hint="eastAsia"/>
        </w:rPr>
        <w:t>：</w:t>
      </w:r>
      <w:r>
        <w:t>270*</w:t>
      </w:r>
      <w:r w:rsidR="00BD114E">
        <w:t>245</w:t>
      </w:r>
      <w:r>
        <w:t>*1</w:t>
      </w:r>
      <w:r w:rsidR="00BD114E">
        <w:t>16</w:t>
      </w:r>
      <w:r>
        <w:t>mm</w:t>
      </w:r>
    </w:p>
    <w:p w:rsidR="005B69B6" w:rsidRDefault="004D0A51">
      <w:pPr>
        <w:pStyle w:val="aa"/>
        <w:numPr>
          <w:ilvl w:val="0"/>
          <w:numId w:val="2"/>
        </w:numPr>
        <w:spacing w:line="360" w:lineRule="auto"/>
        <w:ind w:firstLineChars="0"/>
      </w:pPr>
      <w:r>
        <w:t>电源</w:t>
      </w:r>
      <w:r>
        <w:rPr>
          <w:rFonts w:hint="eastAsia"/>
        </w:rPr>
        <w:t>：</w:t>
      </w:r>
      <w:r>
        <w:t>220V/50Hz</w:t>
      </w:r>
    </w:p>
    <w:p w:rsidR="005B69B6" w:rsidRDefault="004D0A51">
      <w:pPr>
        <w:pStyle w:val="aa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显示方式：4</w:t>
      </w:r>
      <w:r>
        <w:t>.3</w:t>
      </w:r>
      <w:r>
        <w:rPr>
          <w:rFonts w:hint="eastAsia"/>
        </w:rPr>
        <w:t>寸触摸屏</w:t>
      </w:r>
      <w:bookmarkStart w:id="0" w:name="_GoBack"/>
      <w:bookmarkEnd w:id="0"/>
    </w:p>
    <w:sectPr w:rsidR="005B69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800" w:bottom="1440" w:left="1800" w:header="794" w:footer="1077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0D3" w:rsidRDefault="004D0A51">
      <w:r>
        <w:separator/>
      </w:r>
    </w:p>
  </w:endnote>
  <w:endnote w:type="continuationSeparator" w:id="0">
    <w:p w:rsidR="002A40D3" w:rsidRDefault="004D0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ngti SC">
    <w:altName w:val="宋体"/>
    <w:charset w:val="86"/>
    <w:family w:val="auto"/>
    <w:pitch w:val="default"/>
    <w:sig w:usb0="00000000" w:usb1="0000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9B6" w:rsidRDefault="005B69B6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9B6" w:rsidRDefault="001C6C45">
    <w:pPr>
      <w:ind w:firstLine="360"/>
      <w:jc w:val="right"/>
      <w:rPr>
        <w:sz w:val="18"/>
        <w:szCs w:val="18"/>
      </w:rPr>
    </w:pPr>
    <w:sdt>
      <w:sdtPr>
        <w:rPr>
          <w:b/>
          <w:bCs/>
          <w:color w:val="00AAAB"/>
          <w:sz w:val="18"/>
          <w:szCs w:val="18"/>
        </w:rPr>
        <w:alias w:val="作者"/>
        <w:id w:val="-1313864547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4D0A51">
          <w:rPr>
            <w:rFonts w:hint="eastAsia"/>
            <w:b/>
            <w:bCs/>
            <w:color w:val="00AAAB"/>
            <w:sz w:val="18"/>
            <w:szCs w:val="18"/>
          </w:rPr>
          <w:t>宁波新芝生物科技股份有限公司</w:t>
        </w:r>
      </w:sdtContent>
    </w:sdt>
  </w:p>
  <w:p w:rsidR="005B69B6" w:rsidRDefault="004D0A51">
    <w:pPr>
      <w:wordWrap w:val="0"/>
      <w:ind w:firstLine="240"/>
      <w:jc w:val="right"/>
      <w:rPr>
        <w:color w:val="404040" w:themeColor="text1" w:themeTint="BF"/>
        <w:sz w:val="12"/>
        <w:szCs w:val="12"/>
      </w:rPr>
    </w:pPr>
    <w:r>
      <w:rPr>
        <w:rFonts w:hint="eastAsia"/>
        <w:color w:val="404040" w:themeColor="text1" w:themeTint="BF"/>
        <w:sz w:val="12"/>
        <w:szCs w:val="12"/>
      </w:rPr>
      <w:t>NINGBO</w:t>
    </w:r>
    <w:r>
      <w:rPr>
        <w:color w:val="404040" w:themeColor="text1" w:themeTint="BF"/>
        <w:sz w:val="12"/>
        <w:szCs w:val="12"/>
      </w:rPr>
      <w:t xml:space="preserve"> </w:t>
    </w:r>
    <w:r>
      <w:rPr>
        <w:rFonts w:hint="eastAsia"/>
        <w:color w:val="404040" w:themeColor="text1" w:themeTint="BF"/>
        <w:sz w:val="12"/>
        <w:szCs w:val="12"/>
      </w:rPr>
      <w:t>SCIENTZ</w:t>
    </w:r>
    <w:r>
      <w:rPr>
        <w:color w:val="404040" w:themeColor="text1" w:themeTint="BF"/>
        <w:sz w:val="12"/>
        <w:szCs w:val="12"/>
      </w:rPr>
      <w:t xml:space="preserve"> </w:t>
    </w:r>
    <w:r>
      <w:rPr>
        <w:rFonts w:hint="eastAsia"/>
        <w:color w:val="404040" w:themeColor="text1" w:themeTint="BF"/>
        <w:sz w:val="12"/>
        <w:szCs w:val="12"/>
      </w:rPr>
      <w:t>BIOTECHNOLOGY</w:t>
    </w:r>
    <w:r>
      <w:rPr>
        <w:color w:val="404040" w:themeColor="text1" w:themeTint="BF"/>
        <w:sz w:val="12"/>
        <w:szCs w:val="12"/>
      </w:rPr>
      <w:t xml:space="preserve"> </w:t>
    </w:r>
    <w:r>
      <w:rPr>
        <w:rFonts w:hint="eastAsia"/>
        <w:color w:val="404040" w:themeColor="text1" w:themeTint="BF"/>
        <w:sz w:val="12"/>
        <w:szCs w:val="12"/>
      </w:rPr>
      <w:t>CO</w:t>
    </w:r>
    <w:r>
      <w:rPr>
        <w:color w:val="404040" w:themeColor="text1" w:themeTint="BF"/>
        <w:sz w:val="12"/>
        <w:szCs w:val="12"/>
      </w:rPr>
      <w:t>., LTD</w:t>
    </w:r>
  </w:p>
  <w:p w:rsidR="005B69B6" w:rsidRDefault="004D0A51">
    <w:pPr>
      <w:ind w:firstLine="280"/>
      <w:jc w:val="right"/>
      <w:rPr>
        <w:color w:val="404040" w:themeColor="text1" w:themeTint="BF"/>
        <w:sz w:val="14"/>
        <w:szCs w:val="14"/>
      </w:rPr>
    </w:pPr>
    <w:r>
      <w:rPr>
        <w:rFonts w:hint="eastAsia"/>
        <w:color w:val="404040" w:themeColor="text1" w:themeTint="BF"/>
        <w:sz w:val="14"/>
        <w:szCs w:val="14"/>
      </w:rPr>
      <w:t>商务服务热线</w:t>
    </w:r>
    <w:r>
      <w:rPr>
        <w:rFonts w:hint="eastAsia"/>
        <w:sz w:val="14"/>
        <w:szCs w:val="14"/>
      </w:rPr>
      <w:t xml:space="preserve"> </w:t>
    </w:r>
    <w:r>
      <w:rPr>
        <w:color w:val="404040" w:themeColor="text1" w:themeTint="BF"/>
        <w:sz w:val="14"/>
        <w:szCs w:val="14"/>
      </w:rPr>
      <w:t>0574-87134807</w:t>
    </w:r>
  </w:p>
  <w:p w:rsidR="005B69B6" w:rsidRDefault="004D0A51">
    <w:pPr>
      <w:ind w:firstLine="280"/>
      <w:jc w:val="right"/>
      <w:rPr>
        <w:color w:val="404040" w:themeColor="text1" w:themeTint="BF"/>
        <w:sz w:val="14"/>
        <w:szCs w:val="14"/>
      </w:rPr>
    </w:pPr>
    <w:r>
      <w:rPr>
        <w:color w:val="404040" w:themeColor="text1" w:themeTint="BF"/>
        <w:sz w:val="14"/>
        <w:szCs w:val="14"/>
      </w:rPr>
      <w:t>87133995</w:t>
    </w:r>
    <w:r>
      <w:rPr>
        <w:rFonts w:hint="eastAsia"/>
        <w:color w:val="404040" w:themeColor="text1" w:themeTint="BF"/>
        <w:sz w:val="14"/>
        <w:szCs w:val="14"/>
      </w:rPr>
      <w:t>、</w:t>
    </w:r>
    <w:r>
      <w:rPr>
        <w:color w:val="404040" w:themeColor="text1" w:themeTint="BF"/>
        <w:sz w:val="14"/>
        <w:szCs w:val="14"/>
      </w:rPr>
      <w:t>56202593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9B6" w:rsidRDefault="005B69B6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0D3" w:rsidRDefault="004D0A51">
      <w:r>
        <w:separator/>
      </w:r>
    </w:p>
  </w:footnote>
  <w:footnote w:type="continuationSeparator" w:id="0">
    <w:p w:rsidR="002A40D3" w:rsidRDefault="004D0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9B6" w:rsidRDefault="005B69B6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9B6" w:rsidRDefault="004D0A51">
    <w:pPr>
      <w:ind w:firstLine="320"/>
      <w:jc w:val="right"/>
      <w:rPr>
        <w:color w:val="404040" w:themeColor="text1" w:themeTint="BF"/>
      </w:rPr>
    </w:pPr>
    <w:r>
      <w:rPr>
        <w:noProof/>
        <w:color w:val="44546A" w:themeColor="text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-48895</wp:posOffset>
          </wp:positionH>
          <wp:positionV relativeFrom="paragraph">
            <wp:posOffset>-57785</wp:posOffset>
          </wp:positionV>
          <wp:extent cx="687705" cy="532765"/>
          <wp:effectExtent l="0" t="0" r="0" b="63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53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44546A" w:themeColor="text2"/>
      </w:rPr>
      <w:ptab w:relativeTo="margin" w:alignment="center" w:leader="none"/>
    </w:r>
    <w:r>
      <w:rPr>
        <w:rFonts w:hint="eastAsia"/>
        <w:b/>
        <w:bCs/>
        <w:color w:val="00ACAC"/>
        <w:sz w:val="28"/>
        <w:szCs w:val="28"/>
      </w:rPr>
      <w:t>4</w:t>
    </w:r>
    <w:r>
      <w:rPr>
        <w:b/>
        <w:bCs/>
        <w:color w:val="00ACAC"/>
        <w:sz w:val="28"/>
        <w:szCs w:val="28"/>
      </w:rPr>
      <w:t>008-122-088</w:t>
    </w:r>
  </w:p>
  <w:p w:rsidR="005B69B6" w:rsidRDefault="004D0A51">
    <w:pPr>
      <w:ind w:firstLine="320"/>
      <w:jc w:val="right"/>
      <w:rPr>
        <w:color w:val="404040" w:themeColor="text1" w:themeTint="BF"/>
        <w:sz w:val="16"/>
        <w:szCs w:val="16"/>
      </w:rPr>
    </w:pPr>
    <w:r>
      <w:rPr>
        <w:rFonts w:hint="eastAsia"/>
        <w:color w:val="404040" w:themeColor="text1" w:themeTint="BF"/>
        <w:sz w:val="16"/>
        <w:szCs w:val="16"/>
      </w:rPr>
      <w:t>宁波市高新区</w:t>
    </w:r>
    <w:proofErr w:type="gramStart"/>
    <w:r>
      <w:rPr>
        <w:rFonts w:hint="eastAsia"/>
        <w:color w:val="404040" w:themeColor="text1" w:themeTint="BF"/>
        <w:sz w:val="16"/>
        <w:szCs w:val="16"/>
      </w:rPr>
      <w:t>木槿路</w:t>
    </w:r>
    <w:proofErr w:type="gramEnd"/>
    <w:r>
      <w:rPr>
        <w:rFonts w:hint="eastAsia"/>
        <w:color w:val="404040" w:themeColor="text1" w:themeTint="BF"/>
        <w:sz w:val="16"/>
        <w:szCs w:val="16"/>
      </w:rPr>
      <w:t>6</w:t>
    </w:r>
    <w:r>
      <w:rPr>
        <w:color w:val="404040" w:themeColor="text1" w:themeTint="BF"/>
        <w:sz w:val="16"/>
        <w:szCs w:val="16"/>
      </w:rPr>
      <w:t>5</w:t>
    </w:r>
    <w:r>
      <w:rPr>
        <w:rFonts w:hint="eastAsia"/>
        <w:color w:val="404040" w:themeColor="text1" w:themeTint="BF"/>
        <w:sz w:val="16"/>
        <w:szCs w:val="16"/>
      </w:rPr>
      <w:t>号</w:t>
    </w:r>
  </w:p>
  <w:p w:rsidR="005B69B6" w:rsidRDefault="004D0A51">
    <w:pPr>
      <w:ind w:right="80" w:firstLine="320"/>
      <w:jc w:val="right"/>
      <w:rPr>
        <w:color w:val="404040" w:themeColor="text1" w:themeTint="BF"/>
        <w:sz w:val="18"/>
        <w:szCs w:val="18"/>
      </w:rPr>
    </w:pPr>
    <w:r>
      <w:rPr>
        <w:color w:val="404040" w:themeColor="text1" w:themeTint="BF"/>
        <w:sz w:val="18"/>
        <w:szCs w:val="18"/>
      </w:rPr>
      <w:t xml:space="preserve"> </w:t>
    </w:r>
    <w:proofErr w:type="gramStart"/>
    <w:r>
      <w:rPr>
        <w:color w:val="404040" w:themeColor="text1" w:themeTint="BF"/>
        <w:sz w:val="18"/>
        <w:szCs w:val="18"/>
      </w:rPr>
      <w:t>web:www.scientz.com</w:t>
    </w:r>
    <w:proofErr w:type="gramEnd"/>
    <w:r>
      <w:rPr>
        <w:color w:val="404040" w:themeColor="text1" w:themeTint="BF"/>
        <w:sz w:val="18"/>
        <w:szCs w:val="18"/>
      </w:rPr>
      <w:t xml:space="preserve"> </w:t>
    </w:r>
  </w:p>
  <w:p w:rsidR="005B69B6" w:rsidRDefault="004D0A51">
    <w:pPr>
      <w:wordWrap w:val="0"/>
      <w:ind w:right="560" w:firstLine="320"/>
      <w:jc w:val="right"/>
      <w:rPr>
        <w:color w:val="404040" w:themeColor="text1" w:themeTint="BF"/>
        <w:sz w:val="16"/>
        <w:szCs w:val="16"/>
      </w:rPr>
    </w:pPr>
    <w:r>
      <w:rPr>
        <w:color w:val="404040" w:themeColor="text1" w:themeTint="BF"/>
        <w:sz w:val="16"/>
        <w:szCs w:val="16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9B6" w:rsidRDefault="005B69B6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4C0F3B"/>
    <w:multiLevelType w:val="multilevel"/>
    <w:tmpl w:val="5C4C0F3B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3784D3E"/>
    <w:multiLevelType w:val="multilevel"/>
    <w:tmpl w:val="63784D3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20"/>
  <w:drawingGridVerticalSpacing w:val="42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hlNTY3ZTdmMjMxMWYxNGE0ZDEzYTBkZGJhNjhhM2EifQ=="/>
  </w:docVars>
  <w:rsids>
    <w:rsidRoot w:val="00FA12CC"/>
    <w:rsid w:val="000809B2"/>
    <w:rsid w:val="00105B8E"/>
    <w:rsid w:val="001C6C45"/>
    <w:rsid w:val="00220E5D"/>
    <w:rsid w:val="002A40D3"/>
    <w:rsid w:val="002C0B14"/>
    <w:rsid w:val="00377C0E"/>
    <w:rsid w:val="00391ED3"/>
    <w:rsid w:val="00402B2F"/>
    <w:rsid w:val="004477CA"/>
    <w:rsid w:val="004D0A51"/>
    <w:rsid w:val="00506E42"/>
    <w:rsid w:val="00544770"/>
    <w:rsid w:val="00576BE9"/>
    <w:rsid w:val="005B69B6"/>
    <w:rsid w:val="005C738E"/>
    <w:rsid w:val="00633A30"/>
    <w:rsid w:val="00667C16"/>
    <w:rsid w:val="006D579F"/>
    <w:rsid w:val="007063F9"/>
    <w:rsid w:val="00714932"/>
    <w:rsid w:val="00742A15"/>
    <w:rsid w:val="0083486F"/>
    <w:rsid w:val="008F37E2"/>
    <w:rsid w:val="009676FC"/>
    <w:rsid w:val="00976954"/>
    <w:rsid w:val="00983232"/>
    <w:rsid w:val="00994D5F"/>
    <w:rsid w:val="00A3625A"/>
    <w:rsid w:val="00A6597C"/>
    <w:rsid w:val="00A67336"/>
    <w:rsid w:val="00B066DE"/>
    <w:rsid w:val="00B0785C"/>
    <w:rsid w:val="00B94A04"/>
    <w:rsid w:val="00BB0B03"/>
    <w:rsid w:val="00BD114E"/>
    <w:rsid w:val="00C06D58"/>
    <w:rsid w:val="00C35E40"/>
    <w:rsid w:val="00D259E5"/>
    <w:rsid w:val="00D331E3"/>
    <w:rsid w:val="00D4363E"/>
    <w:rsid w:val="00DA1AEC"/>
    <w:rsid w:val="00E85D89"/>
    <w:rsid w:val="00FA12CC"/>
    <w:rsid w:val="00FB14BA"/>
    <w:rsid w:val="1FA860A4"/>
    <w:rsid w:val="28BE194F"/>
    <w:rsid w:val="3F0136B0"/>
    <w:rsid w:val="44D11A16"/>
    <w:rsid w:val="4EA12919"/>
    <w:rsid w:val="6CE22619"/>
    <w:rsid w:val="6FA2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639F9"/>
  <w14:defaultImageDpi w14:val="32767"/>
  <w15:docId w15:val="{33226AB3-3F4F-497C-A41C-6B73EA04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360" w:lineRule="auto"/>
      <w:ind w:leftChars="-51" w:left="28" w:hangingChars="45" w:hanging="135"/>
      <w:jc w:val="center"/>
      <w:outlineLvl w:val="0"/>
    </w:pPr>
    <w:rPr>
      <w:rFonts w:ascii="Times New Roman" w:hAnsi="Times New Roman" w:cs="Times New Roman"/>
      <w:b/>
      <w:color w:val="000000"/>
      <w:kern w:val="2"/>
      <w:sz w:val="32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widowControl w:val="0"/>
      <w:spacing w:before="260" w:after="260" w:line="416" w:lineRule="auto"/>
      <w:ind w:firstLineChars="200" w:firstLine="200"/>
      <w:jc w:val="both"/>
      <w:outlineLvl w:val="1"/>
    </w:pPr>
    <w:rPr>
      <w:rFonts w:asciiTheme="majorHAnsi" w:eastAsia="Songti SC" w:hAnsiTheme="majorHAnsi" w:cstheme="majorBidi"/>
      <w:b/>
      <w:bCs/>
      <w:color w:val="00ACAC"/>
      <w:kern w:val="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360" w:lineRule="auto"/>
      <w:ind w:firstLineChars="200" w:firstLine="20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ind w:firstLineChars="200" w:firstLine="20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</w:r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1">
    <w:name w:val="占位符文本1"/>
    <w:basedOn w:val="a0"/>
    <w:uiPriority w:val="99"/>
    <w:semiHidden/>
    <w:qFormat/>
    <w:rPr>
      <w:color w:val="808080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color w:val="000000"/>
      <w:sz w:val="32"/>
      <w:szCs w:val="20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Songti SC" w:hAnsiTheme="majorHAnsi" w:cstheme="majorBidi"/>
      <w:b/>
      <w:bCs/>
      <w:color w:val="00ACAC"/>
      <w:sz w:val="28"/>
      <w:szCs w:val="3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2">
    <w:name w:val="未处理的提及1"/>
    <w:basedOn w:val="a0"/>
    <w:uiPriority w:val="99"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8CD347-B6EE-4DEC-AA9F-95E2E9A4A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宁波新芝生物科技股份有限公司</dc:creator>
  <cp:lastModifiedBy>CWY</cp:lastModifiedBy>
  <cp:revision>11</cp:revision>
  <cp:lastPrinted>2019-10-17T06:15:00Z</cp:lastPrinted>
  <dcterms:created xsi:type="dcterms:W3CDTF">2019-10-17T06:02:00Z</dcterms:created>
  <dcterms:modified xsi:type="dcterms:W3CDTF">2022-11-29T07:44:00Z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8D292A6B599F426BAEC896A25C87B415</vt:lpwstr>
  </property>
</Properties>
</file>